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7A38" w14:textId="77777777" w:rsidR="00DB6E70" w:rsidRPr="00DB6E70" w:rsidRDefault="00C0324B" w:rsidP="00DB6E70">
      <w:pPr>
        <w:jc w:val="center"/>
        <w:rPr>
          <w:b/>
          <w:color w:val="DE6126"/>
          <w:sz w:val="26"/>
          <w:szCs w:val="26"/>
        </w:rPr>
      </w:pPr>
      <w:r>
        <w:rPr>
          <w:b/>
          <w:color w:val="DE6126"/>
          <w:sz w:val="26"/>
          <w:szCs w:val="26"/>
        </w:rPr>
        <w:t xml:space="preserve">FinCEN </w:t>
      </w:r>
      <w:r w:rsidR="009146B8">
        <w:rPr>
          <w:b/>
          <w:color w:val="DE6126"/>
          <w:sz w:val="26"/>
          <w:szCs w:val="26"/>
        </w:rPr>
        <w:t xml:space="preserve">GTO </w:t>
      </w:r>
      <w:r>
        <w:rPr>
          <w:b/>
          <w:color w:val="DE6126"/>
          <w:sz w:val="26"/>
          <w:szCs w:val="26"/>
        </w:rPr>
        <w:t>Update</w:t>
      </w:r>
    </w:p>
    <w:p w14:paraId="4222BCCE" w14:textId="77777777" w:rsidR="00DB6E70" w:rsidRDefault="00DB6E70">
      <w:pPr>
        <w:rPr>
          <w:color w:val="002E5D"/>
        </w:rPr>
      </w:pPr>
    </w:p>
    <w:p w14:paraId="49B1EFD8" w14:textId="4D83BD24" w:rsidR="007570E1" w:rsidRDefault="00030189" w:rsidP="00E43EE4">
      <w:pPr>
        <w:jc w:val="both"/>
        <w:rPr>
          <w:color w:val="002E5D"/>
        </w:rPr>
      </w:pPr>
      <w:r>
        <w:rPr>
          <w:color w:val="002E5D"/>
        </w:rPr>
        <w:t>CATIC Title</w:t>
      </w:r>
      <w:r w:rsidR="00375F6D" w:rsidRPr="00B068FC">
        <w:rPr>
          <w:color w:val="002E5D"/>
        </w:rPr>
        <w:t xml:space="preserve"> has received notice that the Financial Crimes Enforcement Network (FinCEN) will be </w:t>
      </w:r>
      <w:r w:rsidR="00C0324B">
        <w:rPr>
          <w:color w:val="002E5D"/>
        </w:rPr>
        <w:t xml:space="preserve">renewing the </w:t>
      </w:r>
      <w:r w:rsidR="009273BD" w:rsidRPr="00B068FC">
        <w:rPr>
          <w:color w:val="002E5D"/>
        </w:rPr>
        <w:t>Geographic Targeting Order</w:t>
      </w:r>
      <w:r w:rsidR="0007142C">
        <w:rPr>
          <w:color w:val="002E5D"/>
        </w:rPr>
        <w:t xml:space="preserve"> (GTO</w:t>
      </w:r>
      <w:r w:rsidR="003B39A5">
        <w:rPr>
          <w:color w:val="002E5D"/>
        </w:rPr>
        <w:t>)</w:t>
      </w:r>
      <w:r w:rsidR="00C0324B">
        <w:rPr>
          <w:color w:val="002E5D"/>
        </w:rPr>
        <w:t xml:space="preserve"> in an effort to </w:t>
      </w:r>
      <w:r w:rsidR="00C0324B" w:rsidRPr="00C0324B">
        <w:rPr>
          <w:color w:val="002E5D"/>
        </w:rPr>
        <w:t>identify money laundering schemes inv</w:t>
      </w:r>
      <w:r w:rsidR="00C0324B">
        <w:rPr>
          <w:color w:val="002E5D"/>
        </w:rPr>
        <w:t>olving purchases of real estate</w:t>
      </w:r>
      <w:r w:rsidR="00375F6D" w:rsidRPr="00B068FC">
        <w:rPr>
          <w:color w:val="002E5D"/>
        </w:rPr>
        <w:t xml:space="preserve">. </w:t>
      </w:r>
      <w:r w:rsidR="009273BD" w:rsidRPr="00B068FC">
        <w:rPr>
          <w:color w:val="002E5D"/>
        </w:rPr>
        <w:t xml:space="preserve">This new order is </w:t>
      </w:r>
      <w:r w:rsidR="001A2F1B" w:rsidRPr="001A2F1B">
        <w:rPr>
          <w:b/>
          <w:color w:val="DE6126"/>
        </w:rPr>
        <w:t xml:space="preserve">effective </w:t>
      </w:r>
      <w:r w:rsidR="00232E22">
        <w:rPr>
          <w:b/>
          <w:color w:val="DE6126"/>
        </w:rPr>
        <w:t>April 2</w:t>
      </w:r>
      <w:r w:rsidR="008816E0">
        <w:rPr>
          <w:b/>
          <w:color w:val="DE6126"/>
        </w:rPr>
        <w:t>5</w:t>
      </w:r>
      <w:r w:rsidR="001A2F1B" w:rsidRPr="001A2F1B">
        <w:rPr>
          <w:b/>
          <w:color w:val="DE6126"/>
        </w:rPr>
        <w:t>, 202</w:t>
      </w:r>
      <w:r w:rsidR="00232E22">
        <w:rPr>
          <w:b/>
          <w:color w:val="DE6126"/>
        </w:rPr>
        <w:t>3</w:t>
      </w:r>
      <w:r w:rsidR="008816E0">
        <w:rPr>
          <w:b/>
          <w:color w:val="DE6126"/>
        </w:rPr>
        <w:t xml:space="preserve"> until October 21, 2023</w:t>
      </w:r>
      <w:r w:rsidR="009273BD" w:rsidRPr="00B068FC">
        <w:rPr>
          <w:color w:val="002E5D"/>
        </w:rPr>
        <w:t xml:space="preserve">. </w:t>
      </w:r>
      <w:r w:rsidR="00510C1A" w:rsidRPr="00510C1A">
        <w:rPr>
          <w:color w:val="002E5D"/>
        </w:rPr>
        <w:t xml:space="preserve">You can find a copy of the order on </w:t>
      </w:r>
      <w:hyperlink r:id="rId5" w:history="1">
        <w:r w:rsidR="00510C1A" w:rsidRPr="00510C1A">
          <w:rPr>
            <w:rStyle w:val="Hyperlink"/>
          </w:rPr>
          <w:t>CATIC</w:t>
        </w:r>
        <w:r w:rsidR="00510C1A">
          <w:rPr>
            <w:rStyle w:val="Hyperlink"/>
          </w:rPr>
          <w:t xml:space="preserve"> Title</w:t>
        </w:r>
        <w:r w:rsidR="00510C1A" w:rsidRPr="00510C1A">
          <w:rPr>
            <w:rStyle w:val="Hyperlink"/>
          </w:rPr>
          <w:t>’s website</w:t>
        </w:r>
      </w:hyperlink>
      <w:r w:rsidR="00510C1A" w:rsidRPr="00510C1A">
        <w:rPr>
          <w:color w:val="002E5D"/>
        </w:rPr>
        <w:t>.</w:t>
      </w:r>
    </w:p>
    <w:p w14:paraId="5B7A3965" w14:textId="7AF8BC51" w:rsidR="00F6470D" w:rsidRDefault="00F6470D" w:rsidP="00E43EE4">
      <w:pPr>
        <w:jc w:val="both"/>
        <w:rPr>
          <w:color w:val="002E5D"/>
        </w:rPr>
      </w:pPr>
    </w:p>
    <w:p w14:paraId="335D6D75" w14:textId="24F82776" w:rsidR="00F6470D" w:rsidRPr="00F6470D" w:rsidRDefault="00F6470D" w:rsidP="00E43EE4">
      <w:pPr>
        <w:jc w:val="both"/>
        <w:rPr>
          <w:b/>
          <w:color w:val="002E5D"/>
        </w:rPr>
      </w:pPr>
      <w:r w:rsidRPr="00D12352">
        <w:rPr>
          <w:b/>
          <w:bCs/>
          <w:color w:val="002E5D"/>
          <w:u w:val="single"/>
        </w:rPr>
        <w:t xml:space="preserve">The renewed GTO features substantive changes to prior GTOs, including the addition of </w:t>
      </w:r>
      <w:r>
        <w:rPr>
          <w:b/>
          <w:bCs/>
          <w:color w:val="002E5D"/>
          <w:u w:val="single"/>
        </w:rPr>
        <w:t>Litchfield</w:t>
      </w:r>
      <w:r w:rsidRPr="00D12352">
        <w:rPr>
          <w:b/>
          <w:bCs/>
          <w:color w:val="002E5D"/>
          <w:u w:val="single"/>
        </w:rPr>
        <w:t xml:space="preserve"> County, Connecticut</w:t>
      </w:r>
      <w:r>
        <w:rPr>
          <w:b/>
          <w:bCs/>
          <w:color w:val="002E5D"/>
          <w:u w:val="single"/>
        </w:rPr>
        <w:t>,</w:t>
      </w:r>
      <w:r w:rsidRPr="00D12352">
        <w:rPr>
          <w:b/>
          <w:bCs/>
          <w:color w:val="002E5D"/>
          <w:u w:val="single"/>
        </w:rPr>
        <w:t xml:space="preserve"> to the areas covered by the GTO.</w:t>
      </w:r>
      <w:r w:rsidRPr="000761B9">
        <w:rPr>
          <w:color w:val="002E5D"/>
          <w:u w:val="single"/>
        </w:rPr>
        <w:t xml:space="preserve"> </w:t>
      </w:r>
      <w:r w:rsidR="000761B9" w:rsidRPr="005A5893">
        <w:rPr>
          <w:b/>
          <w:bCs/>
          <w:color w:val="002E5D"/>
          <w:u w:val="single"/>
        </w:rPr>
        <w:t>The effective period of the GTOs for purchases in newly added areas</w:t>
      </w:r>
      <w:r w:rsidR="000761B9">
        <w:rPr>
          <w:b/>
          <w:bCs/>
          <w:color w:val="002E5D"/>
          <w:u w:val="single"/>
        </w:rPr>
        <w:t>, including Litchfield County,</w:t>
      </w:r>
      <w:r w:rsidR="000761B9" w:rsidRPr="005A5893">
        <w:rPr>
          <w:b/>
          <w:bCs/>
          <w:color w:val="002E5D"/>
          <w:u w:val="single"/>
        </w:rPr>
        <w:t xml:space="preserve"> begins </w:t>
      </w:r>
      <w:r w:rsidR="000761B9" w:rsidRPr="004A2EB4">
        <w:rPr>
          <w:b/>
          <w:bCs/>
          <w:color w:val="17365D" w:themeColor="text2" w:themeShade="BF"/>
          <w:u w:val="single"/>
        </w:rPr>
        <w:t>on May 24, 2023</w:t>
      </w:r>
      <w:r w:rsidR="000761B9" w:rsidRPr="005A5893">
        <w:rPr>
          <w:b/>
          <w:bCs/>
          <w:color w:val="002E5D"/>
          <w:u w:val="single"/>
        </w:rPr>
        <w:t>.</w:t>
      </w:r>
    </w:p>
    <w:p w14:paraId="4D094C40" w14:textId="77777777" w:rsidR="00D12352" w:rsidRDefault="00D12352" w:rsidP="00E43EE4">
      <w:pPr>
        <w:jc w:val="both"/>
        <w:rPr>
          <w:color w:val="002E5D"/>
        </w:rPr>
      </w:pPr>
    </w:p>
    <w:p w14:paraId="5C01DA5B" w14:textId="77777777" w:rsidR="00C0324B" w:rsidRPr="008D5008" w:rsidRDefault="008D5008" w:rsidP="00E43EE4">
      <w:pPr>
        <w:jc w:val="both"/>
        <w:rPr>
          <w:b/>
          <w:color w:val="002E5D"/>
        </w:rPr>
      </w:pPr>
      <w:r w:rsidRPr="008D5008">
        <w:rPr>
          <w:b/>
          <w:color w:val="002E5D"/>
        </w:rPr>
        <w:t>Key Takea</w:t>
      </w:r>
      <w:r w:rsidRPr="009430CF">
        <w:rPr>
          <w:b/>
          <w:color w:val="002E5D"/>
        </w:rPr>
        <w:t>way</w:t>
      </w:r>
      <w:r w:rsidRPr="008D5008">
        <w:rPr>
          <w:b/>
          <w:color w:val="002E5D"/>
        </w:rPr>
        <w:t>s for the n</w:t>
      </w:r>
      <w:r w:rsidR="00C0324B" w:rsidRPr="008D5008">
        <w:rPr>
          <w:b/>
          <w:color w:val="002E5D"/>
        </w:rPr>
        <w:t>ew GTO:</w:t>
      </w:r>
    </w:p>
    <w:p w14:paraId="4E22AD2C" w14:textId="77777777" w:rsidR="00C0324B" w:rsidRDefault="00C0324B" w:rsidP="00E43EE4">
      <w:pPr>
        <w:pStyle w:val="ListParagraph"/>
        <w:numPr>
          <w:ilvl w:val="0"/>
          <w:numId w:val="3"/>
        </w:numPr>
        <w:jc w:val="both"/>
        <w:rPr>
          <w:color w:val="002E5D"/>
        </w:rPr>
      </w:pPr>
      <w:r>
        <w:rPr>
          <w:color w:val="002E5D"/>
        </w:rPr>
        <w:t>The GTO reporting requirements apply to:</w:t>
      </w:r>
    </w:p>
    <w:p w14:paraId="235A6234" w14:textId="77777777" w:rsidR="00C0324B" w:rsidRPr="00B240B3" w:rsidRDefault="00C0324B" w:rsidP="00E43EE4">
      <w:pPr>
        <w:pStyle w:val="ListParagraph"/>
        <w:numPr>
          <w:ilvl w:val="1"/>
          <w:numId w:val="3"/>
        </w:numPr>
        <w:jc w:val="both"/>
        <w:rPr>
          <w:color w:val="002E5D"/>
        </w:rPr>
      </w:pPr>
      <w:r>
        <w:rPr>
          <w:color w:val="002E5D"/>
        </w:rPr>
        <w:t>Purchases of</w:t>
      </w:r>
      <w:r w:rsidRPr="008D5008">
        <w:rPr>
          <w:color w:val="DE6126"/>
        </w:rPr>
        <w:t xml:space="preserve"> </w:t>
      </w:r>
      <w:r w:rsidRPr="008D5008">
        <w:rPr>
          <w:b/>
          <w:i/>
          <w:color w:val="DE6126"/>
        </w:rPr>
        <w:t>residential real property</w:t>
      </w:r>
      <w:r>
        <w:rPr>
          <w:color w:val="002E5D"/>
        </w:rPr>
        <w:t xml:space="preserve"> in</w:t>
      </w:r>
      <w:r w:rsidR="00273169">
        <w:rPr>
          <w:color w:val="002E5D"/>
        </w:rPr>
        <w:t xml:space="preserve">, </w:t>
      </w:r>
      <w:r w:rsidR="00273169" w:rsidRPr="00273169">
        <w:rPr>
          <w:i/>
          <w:color w:val="002E5D"/>
        </w:rPr>
        <w:t>inter alia</w:t>
      </w:r>
      <w:r>
        <w:rPr>
          <w:color w:val="002E5D"/>
        </w:rPr>
        <w:t>:</w:t>
      </w:r>
    </w:p>
    <w:p w14:paraId="0AED0814" w14:textId="78053C6E" w:rsidR="00225B6D" w:rsidRDefault="00C0324B" w:rsidP="00E43EE4">
      <w:pPr>
        <w:pStyle w:val="ListParagraph"/>
        <w:numPr>
          <w:ilvl w:val="2"/>
          <w:numId w:val="3"/>
        </w:numPr>
        <w:jc w:val="both"/>
        <w:rPr>
          <w:color w:val="002E5D"/>
        </w:rPr>
      </w:pPr>
      <w:r>
        <w:rPr>
          <w:color w:val="002E5D"/>
        </w:rPr>
        <w:t>The Boroughs of Brooklyn, Queens, Bronx, Staten Island, or Manhattan in New York City, New York</w:t>
      </w:r>
      <w:r w:rsidR="00E3731D">
        <w:rPr>
          <w:color w:val="002E5D"/>
        </w:rPr>
        <w:t>;</w:t>
      </w:r>
    </w:p>
    <w:p w14:paraId="7BEC49A9" w14:textId="1098E38F" w:rsidR="00D12352" w:rsidRDefault="009117D4" w:rsidP="00E43EE4">
      <w:pPr>
        <w:pStyle w:val="ListParagraph"/>
        <w:numPr>
          <w:ilvl w:val="2"/>
          <w:numId w:val="3"/>
        </w:numPr>
        <w:jc w:val="both"/>
        <w:rPr>
          <w:color w:val="002E5D"/>
        </w:rPr>
      </w:pPr>
      <w:r w:rsidRPr="009117D4">
        <w:rPr>
          <w:color w:val="002E5D"/>
        </w:rPr>
        <w:t xml:space="preserve">Fairfield </w:t>
      </w:r>
      <w:r w:rsidR="000761B9">
        <w:rPr>
          <w:color w:val="002E5D"/>
        </w:rPr>
        <w:t xml:space="preserve">or Litchfield </w:t>
      </w:r>
      <w:r w:rsidRPr="009117D4">
        <w:rPr>
          <w:color w:val="002E5D"/>
        </w:rPr>
        <w:t>Count</w:t>
      </w:r>
      <w:r w:rsidR="00005973">
        <w:rPr>
          <w:color w:val="002E5D"/>
        </w:rPr>
        <w:t>ies</w:t>
      </w:r>
      <w:r w:rsidRPr="009117D4">
        <w:rPr>
          <w:color w:val="002E5D"/>
        </w:rPr>
        <w:t>, Connecticut;</w:t>
      </w:r>
    </w:p>
    <w:p w14:paraId="5D7629F9" w14:textId="0CF25F31" w:rsidR="00C0324B" w:rsidRDefault="00225B6D" w:rsidP="00E43EE4">
      <w:pPr>
        <w:pStyle w:val="ListParagraph"/>
        <w:numPr>
          <w:ilvl w:val="2"/>
          <w:numId w:val="3"/>
        </w:numPr>
        <w:jc w:val="both"/>
        <w:rPr>
          <w:color w:val="002E5D"/>
        </w:rPr>
      </w:pPr>
      <w:r w:rsidRPr="00225B6D">
        <w:rPr>
          <w:color w:val="002E5D"/>
        </w:rPr>
        <w:t>Suffolk or Middlesex Counties, Massachusetts;</w:t>
      </w:r>
      <w:r w:rsidR="00653C99">
        <w:rPr>
          <w:color w:val="002E5D"/>
        </w:rPr>
        <w:t xml:space="preserve"> </w:t>
      </w:r>
    </w:p>
    <w:p w14:paraId="1935216E" w14:textId="1B97A98A" w:rsidR="00653C99" w:rsidRDefault="00653C99" w:rsidP="00E43EE4">
      <w:pPr>
        <w:pStyle w:val="ListParagraph"/>
        <w:numPr>
          <w:ilvl w:val="2"/>
          <w:numId w:val="3"/>
        </w:numPr>
        <w:jc w:val="both"/>
        <w:rPr>
          <w:color w:val="002E5D"/>
        </w:rPr>
      </w:pPr>
      <w:r w:rsidRPr="00653C99">
        <w:rPr>
          <w:color w:val="002E5D"/>
        </w:rPr>
        <w:t>Miami-Dade, Broward, or Palm Beach Counties, Florida;</w:t>
      </w:r>
    </w:p>
    <w:p w14:paraId="648E2131" w14:textId="03B692F3" w:rsidR="000761B9" w:rsidRPr="00653C99" w:rsidRDefault="000761B9" w:rsidP="00E43EE4">
      <w:pPr>
        <w:pStyle w:val="ListParagraph"/>
        <w:numPr>
          <w:ilvl w:val="2"/>
          <w:numId w:val="3"/>
        </w:numPr>
        <w:jc w:val="both"/>
        <w:rPr>
          <w:color w:val="002E5D"/>
        </w:rPr>
      </w:pPr>
      <w:r>
        <w:rPr>
          <w:color w:val="002E5D"/>
        </w:rPr>
        <w:t>Cook County, Illinois;</w:t>
      </w:r>
    </w:p>
    <w:p w14:paraId="265048FC" w14:textId="01306099" w:rsidR="00562279" w:rsidRDefault="00562279" w:rsidP="00E43EE4">
      <w:pPr>
        <w:pStyle w:val="ListParagraph"/>
        <w:numPr>
          <w:ilvl w:val="1"/>
          <w:numId w:val="3"/>
        </w:numPr>
        <w:jc w:val="both"/>
        <w:rPr>
          <w:color w:val="002E5D"/>
        </w:rPr>
      </w:pPr>
      <w:r>
        <w:rPr>
          <w:color w:val="002E5D"/>
        </w:rPr>
        <w:t xml:space="preserve">By </w:t>
      </w:r>
      <w:r w:rsidRPr="008D5008">
        <w:rPr>
          <w:b/>
          <w:i/>
          <w:color w:val="DE6126"/>
        </w:rPr>
        <w:t>Legal Entities</w:t>
      </w:r>
      <w:r w:rsidRPr="008D5008">
        <w:rPr>
          <w:color w:val="DE6126"/>
        </w:rPr>
        <w:t xml:space="preserve"> </w:t>
      </w:r>
      <w:r w:rsidRPr="008D5008">
        <w:rPr>
          <w:b/>
          <w:color w:val="DE6126"/>
          <w:u w:val="single"/>
        </w:rPr>
        <w:t>only</w:t>
      </w:r>
      <w:r>
        <w:rPr>
          <w:color w:val="002E5D"/>
        </w:rPr>
        <w:t xml:space="preserve"> – purchases by</w:t>
      </w:r>
      <w:r w:rsidR="00604BC1">
        <w:rPr>
          <w:color w:val="002E5D"/>
        </w:rPr>
        <w:t xml:space="preserve"> U.S. publicly-traded companies,</w:t>
      </w:r>
      <w:r>
        <w:rPr>
          <w:color w:val="002E5D"/>
        </w:rPr>
        <w:t xml:space="preserve"> </w:t>
      </w:r>
      <w:r w:rsidR="00D9273B">
        <w:rPr>
          <w:color w:val="002E5D"/>
        </w:rPr>
        <w:t>i</w:t>
      </w:r>
      <w:r>
        <w:rPr>
          <w:color w:val="002E5D"/>
        </w:rPr>
        <w:t>ndividuals</w:t>
      </w:r>
      <w:r w:rsidR="000165CB">
        <w:rPr>
          <w:color w:val="002E5D"/>
        </w:rPr>
        <w:t>,</w:t>
      </w:r>
      <w:r>
        <w:rPr>
          <w:color w:val="002E5D"/>
        </w:rPr>
        <w:t xml:space="preserve"> and </w:t>
      </w:r>
      <w:r w:rsidR="00D9273B">
        <w:rPr>
          <w:color w:val="002E5D"/>
        </w:rPr>
        <w:t>t</w:t>
      </w:r>
      <w:r>
        <w:rPr>
          <w:color w:val="002E5D"/>
        </w:rPr>
        <w:t xml:space="preserve">rusts </w:t>
      </w:r>
      <w:r w:rsidRPr="008D5008">
        <w:rPr>
          <w:color w:val="002E5D"/>
          <w:u w:val="single"/>
        </w:rPr>
        <w:t>do not</w:t>
      </w:r>
      <w:r>
        <w:rPr>
          <w:color w:val="002E5D"/>
        </w:rPr>
        <w:t xml:space="preserve"> need to be reported;</w:t>
      </w:r>
    </w:p>
    <w:p w14:paraId="710CC515" w14:textId="77777777" w:rsidR="00C0324B" w:rsidRDefault="00C0324B" w:rsidP="00E43EE4">
      <w:pPr>
        <w:pStyle w:val="ListParagraph"/>
        <w:numPr>
          <w:ilvl w:val="1"/>
          <w:numId w:val="3"/>
        </w:numPr>
        <w:jc w:val="both"/>
        <w:rPr>
          <w:color w:val="002E5D"/>
        </w:rPr>
      </w:pPr>
      <w:r>
        <w:rPr>
          <w:color w:val="002E5D"/>
        </w:rPr>
        <w:t xml:space="preserve">Purchase price is </w:t>
      </w:r>
      <w:r w:rsidRPr="008D5008">
        <w:rPr>
          <w:b/>
          <w:i/>
          <w:color w:val="DE6126"/>
        </w:rPr>
        <w:t>$300,000</w:t>
      </w:r>
      <w:r w:rsidRPr="008D5008">
        <w:rPr>
          <w:color w:val="DE6126"/>
        </w:rPr>
        <w:t xml:space="preserve"> </w:t>
      </w:r>
      <w:r>
        <w:rPr>
          <w:color w:val="002E5D"/>
        </w:rPr>
        <w:t>or more</w:t>
      </w:r>
      <w:r w:rsidR="00633668">
        <w:rPr>
          <w:color w:val="002E5D"/>
        </w:rPr>
        <w:t>;</w:t>
      </w:r>
    </w:p>
    <w:p w14:paraId="11F1B928" w14:textId="77777777" w:rsidR="00C0324B" w:rsidRPr="00C0324B" w:rsidRDefault="00C0324B" w:rsidP="00E43EE4">
      <w:pPr>
        <w:pStyle w:val="ListParagraph"/>
        <w:numPr>
          <w:ilvl w:val="1"/>
          <w:numId w:val="3"/>
        </w:numPr>
        <w:jc w:val="both"/>
        <w:rPr>
          <w:color w:val="002E5D"/>
        </w:rPr>
      </w:pPr>
      <w:r>
        <w:rPr>
          <w:color w:val="002E5D"/>
        </w:rPr>
        <w:t xml:space="preserve">Purchase is made </w:t>
      </w:r>
      <w:r w:rsidRPr="008D5008">
        <w:rPr>
          <w:b/>
          <w:i/>
          <w:color w:val="DE6126"/>
        </w:rPr>
        <w:t>without a bank loan</w:t>
      </w:r>
      <w:r w:rsidRPr="008D5008">
        <w:rPr>
          <w:color w:val="DE6126"/>
        </w:rPr>
        <w:t xml:space="preserve"> </w:t>
      </w:r>
      <w:r w:rsidRPr="00C0324B">
        <w:rPr>
          <w:color w:val="002E5D"/>
        </w:rPr>
        <w:t>or other similar form of external financing; and</w:t>
      </w:r>
    </w:p>
    <w:p w14:paraId="0158F732" w14:textId="77777777" w:rsidR="00C0324B" w:rsidRDefault="00C0324B" w:rsidP="00E43EE4">
      <w:pPr>
        <w:pStyle w:val="ListParagraph"/>
        <w:numPr>
          <w:ilvl w:val="1"/>
          <w:numId w:val="3"/>
        </w:numPr>
        <w:jc w:val="both"/>
        <w:rPr>
          <w:b/>
          <w:i/>
          <w:color w:val="DE6126"/>
        </w:rPr>
      </w:pPr>
      <w:r w:rsidRPr="00C0324B">
        <w:rPr>
          <w:color w:val="002E5D"/>
        </w:rPr>
        <w:t xml:space="preserve">The purchase is made, at least in part, using </w:t>
      </w:r>
      <w:r w:rsidRPr="008D5008">
        <w:rPr>
          <w:b/>
          <w:i/>
          <w:color w:val="DE6126"/>
        </w:rPr>
        <w:t>currency</w:t>
      </w:r>
      <w:r w:rsidRPr="00C0324B">
        <w:rPr>
          <w:color w:val="002E5D"/>
        </w:rPr>
        <w:t xml:space="preserve"> or a </w:t>
      </w:r>
      <w:r w:rsidRPr="008D5008">
        <w:rPr>
          <w:b/>
          <w:i/>
          <w:color w:val="DE6126"/>
        </w:rPr>
        <w:t xml:space="preserve">cashier’s check, certified check, traveler’s check, personal check, business check, </w:t>
      </w:r>
      <w:r w:rsidR="00110AAE">
        <w:rPr>
          <w:b/>
          <w:i/>
          <w:color w:val="DE6126"/>
        </w:rPr>
        <w:t xml:space="preserve">money order in any form, </w:t>
      </w:r>
      <w:r w:rsidR="00110AAE" w:rsidRPr="008D5008">
        <w:rPr>
          <w:b/>
          <w:i/>
          <w:color w:val="DE6126"/>
        </w:rPr>
        <w:t>funds transfer</w:t>
      </w:r>
      <w:r w:rsidR="00110AAE">
        <w:rPr>
          <w:b/>
          <w:i/>
          <w:color w:val="DE6126"/>
        </w:rPr>
        <w:t xml:space="preserve">, </w:t>
      </w:r>
      <w:r w:rsidR="00110AAE" w:rsidRPr="00D64E1E">
        <w:rPr>
          <w:color w:val="1F497D" w:themeColor="text2"/>
        </w:rPr>
        <w:t>or</w:t>
      </w:r>
      <w:r w:rsidR="00110AAE">
        <w:rPr>
          <w:b/>
          <w:i/>
          <w:color w:val="DE6126"/>
        </w:rPr>
        <w:t xml:space="preserve"> virtual currency</w:t>
      </w:r>
    </w:p>
    <w:p w14:paraId="4D0FED77" w14:textId="77777777" w:rsidR="009430CF" w:rsidRPr="009430CF" w:rsidRDefault="009430CF" w:rsidP="00E43EE4">
      <w:pPr>
        <w:pStyle w:val="ListParagraph"/>
        <w:numPr>
          <w:ilvl w:val="0"/>
          <w:numId w:val="3"/>
        </w:numPr>
        <w:jc w:val="both"/>
        <w:rPr>
          <w:b/>
          <w:color w:val="DE6126"/>
        </w:rPr>
      </w:pPr>
      <w:r>
        <w:rPr>
          <w:color w:val="002E5D"/>
        </w:rPr>
        <w:t xml:space="preserve">The terms of the renewed GTO are </w:t>
      </w:r>
      <w:r w:rsidRPr="008D5008">
        <w:rPr>
          <w:b/>
          <w:color w:val="DE6126"/>
        </w:rPr>
        <w:t>NOT confidential</w:t>
      </w:r>
    </w:p>
    <w:p w14:paraId="7715BFD3" w14:textId="77777777" w:rsidR="00C0324B" w:rsidRDefault="00C0324B" w:rsidP="004E5E88">
      <w:pPr>
        <w:rPr>
          <w:color w:val="002E5D"/>
        </w:rPr>
      </w:pPr>
    </w:p>
    <w:p w14:paraId="186D05E7" w14:textId="20853CBD" w:rsidR="000629E6" w:rsidRDefault="009430CF" w:rsidP="00E43EE4">
      <w:pPr>
        <w:jc w:val="both"/>
        <w:rPr>
          <w:color w:val="002E5D"/>
        </w:rPr>
      </w:pPr>
      <w:r>
        <w:rPr>
          <w:color w:val="002E5D"/>
        </w:rPr>
        <w:t>D</w:t>
      </w:r>
      <w:r w:rsidR="004E5E88">
        <w:rPr>
          <w:color w:val="002E5D"/>
        </w:rPr>
        <w:t>uring the</w:t>
      </w:r>
      <w:r w:rsidR="009273BD" w:rsidRPr="00B068FC">
        <w:rPr>
          <w:color w:val="002E5D"/>
        </w:rPr>
        <w:t xml:space="preserve"> effective period, </w:t>
      </w:r>
      <w:r w:rsidR="008D5008" w:rsidRPr="00B068FC">
        <w:rPr>
          <w:color w:val="002E5D"/>
        </w:rPr>
        <w:t>you are expected to comply with the terms of the order, including requirements to collect certain information and report said information to FinCEN</w:t>
      </w:r>
      <w:r w:rsidR="008D5008">
        <w:rPr>
          <w:color w:val="002E5D"/>
        </w:rPr>
        <w:t xml:space="preserve"> and </w:t>
      </w:r>
      <w:r w:rsidR="00030189">
        <w:rPr>
          <w:color w:val="002E5D"/>
        </w:rPr>
        <w:t>CATIC Title</w:t>
      </w:r>
      <w:r w:rsidR="008D5008" w:rsidRPr="00B068FC">
        <w:rPr>
          <w:color w:val="002E5D"/>
        </w:rPr>
        <w:t>.</w:t>
      </w:r>
      <w:r>
        <w:rPr>
          <w:color w:val="002E5D"/>
        </w:rPr>
        <w:t xml:space="preserve"> </w:t>
      </w:r>
    </w:p>
    <w:p w14:paraId="29883953" w14:textId="77777777" w:rsidR="000629E6" w:rsidRDefault="000629E6" w:rsidP="00E43EE4">
      <w:pPr>
        <w:jc w:val="both"/>
        <w:rPr>
          <w:color w:val="002E5D"/>
        </w:rPr>
      </w:pPr>
    </w:p>
    <w:p w14:paraId="6A0BE6CA" w14:textId="0AF25F5D" w:rsidR="000629E6" w:rsidRDefault="009430CF" w:rsidP="00E43EE4">
      <w:pPr>
        <w:jc w:val="both"/>
        <w:rPr>
          <w:color w:val="002E5D"/>
        </w:rPr>
      </w:pPr>
      <w:r>
        <w:rPr>
          <w:color w:val="002E5D"/>
        </w:rPr>
        <w:t>CATIC</w:t>
      </w:r>
      <w:r w:rsidR="00030189">
        <w:rPr>
          <w:color w:val="002E5D"/>
        </w:rPr>
        <w:t xml:space="preserve"> Title</w:t>
      </w:r>
      <w:r>
        <w:rPr>
          <w:color w:val="002E5D"/>
        </w:rPr>
        <w:t xml:space="preserve"> has provided a number of resources on its </w:t>
      </w:r>
      <w:hyperlink r:id="rId6" w:history="1">
        <w:r w:rsidRPr="00573E44">
          <w:rPr>
            <w:rStyle w:val="Hyperlink"/>
          </w:rPr>
          <w:t>website</w:t>
        </w:r>
      </w:hyperlink>
      <w:r>
        <w:rPr>
          <w:color w:val="002E5D"/>
        </w:rPr>
        <w:t xml:space="preserve"> to assist you in the process. These tools </w:t>
      </w:r>
      <w:r w:rsidR="000629E6">
        <w:rPr>
          <w:color w:val="002E5D"/>
        </w:rPr>
        <w:t>include:</w:t>
      </w:r>
    </w:p>
    <w:p w14:paraId="072BADA0" w14:textId="77777777" w:rsidR="000629E6" w:rsidRDefault="000629E6" w:rsidP="00E43EE4">
      <w:pPr>
        <w:pStyle w:val="ListParagraph"/>
        <w:numPr>
          <w:ilvl w:val="0"/>
          <w:numId w:val="5"/>
        </w:numPr>
        <w:jc w:val="both"/>
        <w:rPr>
          <w:color w:val="002E5D"/>
        </w:rPr>
      </w:pPr>
      <w:r w:rsidRPr="00FB6500">
        <w:rPr>
          <w:b/>
          <w:i/>
          <w:color w:val="DE6126"/>
        </w:rPr>
        <w:t>FinCEN GTO Guide</w:t>
      </w:r>
      <w:r>
        <w:rPr>
          <w:color w:val="002E5D"/>
        </w:rPr>
        <w:t xml:space="preserve"> – provides a detailed description of the GTO reporting requirements</w:t>
      </w:r>
    </w:p>
    <w:p w14:paraId="31B07512" w14:textId="77777777" w:rsidR="000629E6" w:rsidRDefault="000629E6" w:rsidP="00E43EE4">
      <w:pPr>
        <w:pStyle w:val="ListParagraph"/>
        <w:numPr>
          <w:ilvl w:val="0"/>
          <w:numId w:val="5"/>
        </w:numPr>
        <w:jc w:val="both"/>
        <w:rPr>
          <w:color w:val="002E5D"/>
        </w:rPr>
      </w:pPr>
      <w:r w:rsidRPr="00FB6500">
        <w:rPr>
          <w:b/>
          <w:i/>
          <w:color w:val="DE6126"/>
        </w:rPr>
        <w:t>FinCEN GTO Instructional Overview</w:t>
      </w:r>
      <w:r>
        <w:rPr>
          <w:color w:val="002E5D"/>
        </w:rPr>
        <w:t xml:space="preserve"> – provides instruction for filling out the GTO report</w:t>
      </w:r>
    </w:p>
    <w:p w14:paraId="5987F1E1" w14:textId="77777777" w:rsidR="000629E6" w:rsidRDefault="000629E6" w:rsidP="00E43EE4">
      <w:pPr>
        <w:pStyle w:val="ListParagraph"/>
        <w:numPr>
          <w:ilvl w:val="0"/>
          <w:numId w:val="5"/>
        </w:numPr>
        <w:jc w:val="both"/>
        <w:rPr>
          <w:color w:val="002E5D"/>
        </w:rPr>
      </w:pPr>
      <w:r w:rsidRPr="00FB6500">
        <w:rPr>
          <w:b/>
          <w:i/>
          <w:color w:val="DE6126"/>
        </w:rPr>
        <w:t>Covered Transaction Worksheet</w:t>
      </w:r>
      <w:r w:rsidRPr="00FB6500">
        <w:rPr>
          <w:color w:val="DE6126"/>
        </w:rPr>
        <w:t xml:space="preserve"> </w:t>
      </w:r>
      <w:r>
        <w:rPr>
          <w:color w:val="002E5D"/>
        </w:rPr>
        <w:t>– helps agents determine whether a transaction is reportable</w:t>
      </w:r>
    </w:p>
    <w:p w14:paraId="4F57235F" w14:textId="53457520" w:rsidR="000629E6" w:rsidRDefault="000629E6" w:rsidP="00E43EE4">
      <w:pPr>
        <w:pStyle w:val="ListParagraph"/>
        <w:numPr>
          <w:ilvl w:val="0"/>
          <w:numId w:val="5"/>
        </w:numPr>
        <w:jc w:val="both"/>
        <w:rPr>
          <w:color w:val="002E5D"/>
        </w:rPr>
      </w:pPr>
      <w:r w:rsidRPr="00FB6500">
        <w:rPr>
          <w:b/>
          <w:i/>
          <w:color w:val="DE6126"/>
        </w:rPr>
        <w:t>Information</w:t>
      </w:r>
      <w:r w:rsidRPr="00EC7912">
        <w:rPr>
          <w:b/>
          <w:i/>
          <w:color w:val="DE6126"/>
        </w:rPr>
        <w:t xml:space="preserve"> Collection</w:t>
      </w:r>
      <w:r w:rsidRPr="00FB6500">
        <w:rPr>
          <w:b/>
          <w:i/>
          <w:color w:val="DE6126"/>
        </w:rPr>
        <w:t xml:space="preserve"> Form</w:t>
      </w:r>
      <w:r w:rsidRPr="00FB6500">
        <w:rPr>
          <w:color w:val="DE6126"/>
        </w:rPr>
        <w:t xml:space="preserve"> </w:t>
      </w:r>
      <w:r>
        <w:rPr>
          <w:color w:val="002E5D"/>
        </w:rPr>
        <w:t>– helps agents collect information necessary for completing the GTO report</w:t>
      </w:r>
    </w:p>
    <w:p w14:paraId="2AAB2C29" w14:textId="517CB6F4" w:rsidR="009E701E" w:rsidRPr="009E701E" w:rsidRDefault="009E701E" w:rsidP="009E701E">
      <w:pPr>
        <w:pStyle w:val="ListParagraph"/>
        <w:numPr>
          <w:ilvl w:val="0"/>
          <w:numId w:val="5"/>
        </w:numPr>
        <w:rPr>
          <w:color w:val="002E5D"/>
        </w:rPr>
      </w:pPr>
      <w:r w:rsidRPr="00EC7912">
        <w:rPr>
          <w:b/>
          <w:i/>
          <w:color w:val="DE6126"/>
        </w:rPr>
        <w:t>Blank Currency Transaction Report Template</w:t>
      </w:r>
      <w:r w:rsidRPr="00EC7912">
        <w:rPr>
          <w:bCs/>
          <w:iCs/>
          <w:color w:val="DE6126"/>
        </w:rPr>
        <w:t xml:space="preserve"> </w:t>
      </w:r>
      <w:r w:rsidRPr="009E701E">
        <w:rPr>
          <w:bCs/>
          <w:iCs/>
          <w:color w:val="002E5D"/>
        </w:rPr>
        <w:t xml:space="preserve">– blank copy of the Currency Transaction Form provided by FinCEN </w:t>
      </w:r>
    </w:p>
    <w:p w14:paraId="60BD8379" w14:textId="039769B0" w:rsidR="004E0436" w:rsidRPr="0076264E" w:rsidRDefault="0076264E" w:rsidP="0076264E">
      <w:pPr>
        <w:pStyle w:val="ListParagraph"/>
        <w:numPr>
          <w:ilvl w:val="0"/>
          <w:numId w:val="5"/>
        </w:numPr>
        <w:rPr>
          <w:color w:val="002E5D"/>
        </w:rPr>
      </w:pPr>
      <w:r w:rsidRPr="0076264E">
        <w:rPr>
          <w:b/>
          <w:bCs/>
          <w:i/>
          <w:iCs/>
          <w:color w:val="DE6126"/>
        </w:rPr>
        <w:lastRenderedPageBreak/>
        <w:t>GTO Frequently Asked Questions</w:t>
      </w:r>
      <w:r w:rsidRPr="0076264E">
        <w:rPr>
          <w:color w:val="DE6126"/>
        </w:rPr>
        <w:t xml:space="preserve"> </w:t>
      </w:r>
      <w:r w:rsidRPr="0076264E">
        <w:rPr>
          <w:color w:val="002E5D"/>
        </w:rPr>
        <w:t>– provides guidance from FinCEN regarding common questions asked about the GTO</w:t>
      </w:r>
    </w:p>
    <w:p w14:paraId="5CF4DD29" w14:textId="5B86EBF9" w:rsidR="000629E6" w:rsidRDefault="003B7297" w:rsidP="00E43EE4">
      <w:pPr>
        <w:tabs>
          <w:tab w:val="left" w:pos="5592"/>
        </w:tabs>
        <w:jc w:val="both"/>
        <w:rPr>
          <w:color w:val="002E5D"/>
        </w:rPr>
      </w:pPr>
      <w:r>
        <w:rPr>
          <w:color w:val="002E5D"/>
        </w:rPr>
        <w:tab/>
      </w:r>
    </w:p>
    <w:p w14:paraId="38D54C15" w14:textId="77777777" w:rsidR="009273BD" w:rsidRPr="00B068FC" w:rsidRDefault="009430CF" w:rsidP="00E43EE4">
      <w:pPr>
        <w:jc w:val="both"/>
        <w:rPr>
          <w:color w:val="002E5D"/>
        </w:rPr>
      </w:pPr>
      <w:r>
        <w:rPr>
          <w:color w:val="002E5D"/>
        </w:rPr>
        <w:t>It is important to note that f</w:t>
      </w:r>
      <w:r w:rsidR="008D5008" w:rsidRPr="00B068FC">
        <w:rPr>
          <w:color w:val="002E5D"/>
        </w:rPr>
        <w:t>ailure to comply with this order may result in civil and/or criminal penalties.</w:t>
      </w:r>
    </w:p>
    <w:p w14:paraId="69D48177" w14:textId="77777777" w:rsidR="009273BD" w:rsidRPr="00B068FC" w:rsidRDefault="009273BD" w:rsidP="00E43EE4">
      <w:pPr>
        <w:jc w:val="both"/>
        <w:rPr>
          <w:color w:val="002E5D"/>
        </w:rPr>
      </w:pPr>
    </w:p>
    <w:p w14:paraId="007096A1" w14:textId="1D70C432" w:rsidR="00375F6D" w:rsidRDefault="004E5E88" w:rsidP="00E43EE4">
      <w:pPr>
        <w:jc w:val="both"/>
      </w:pPr>
      <w:r w:rsidRPr="004E5E88">
        <w:rPr>
          <w:color w:val="002E5D"/>
        </w:rPr>
        <w:t xml:space="preserve">Should you have any questions, please contact </w:t>
      </w:r>
      <w:r w:rsidR="00361212">
        <w:rPr>
          <w:color w:val="002E5D"/>
        </w:rPr>
        <w:t>Steve Maggiola</w:t>
      </w:r>
      <w:r w:rsidR="00B240B3">
        <w:rPr>
          <w:color w:val="002E5D"/>
        </w:rPr>
        <w:t>, CATIC</w:t>
      </w:r>
      <w:r w:rsidR="00030189">
        <w:rPr>
          <w:color w:val="002E5D"/>
        </w:rPr>
        <w:t xml:space="preserve"> Title</w:t>
      </w:r>
      <w:r w:rsidR="00B240B3">
        <w:rPr>
          <w:color w:val="002E5D"/>
        </w:rPr>
        <w:t xml:space="preserve">’s </w:t>
      </w:r>
      <w:r w:rsidR="00260D25" w:rsidRPr="00260D25">
        <w:rPr>
          <w:color w:val="002E5D"/>
        </w:rPr>
        <w:t>Senior Vice President &amp; Counsel</w:t>
      </w:r>
      <w:r w:rsidR="00B240B3">
        <w:rPr>
          <w:color w:val="002E5D"/>
        </w:rPr>
        <w:t xml:space="preserve">, at </w:t>
      </w:r>
      <w:hyperlink r:id="rId7" w:history="1">
        <w:r w:rsidR="00260D25" w:rsidRPr="002062C6">
          <w:rPr>
            <w:rStyle w:val="Hyperlink"/>
          </w:rPr>
          <w:t>SMaggiola@catictitle.com</w:t>
        </w:r>
      </w:hyperlink>
      <w:r w:rsidR="00260D25">
        <w:t>.</w:t>
      </w:r>
      <w:r w:rsidR="00B240B3">
        <w:rPr>
          <w:color w:val="002E5D"/>
        </w:rPr>
        <w:t xml:space="preserve"> </w:t>
      </w:r>
    </w:p>
    <w:sectPr w:rsidR="00375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6E5E"/>
    <w:multiLevelType w:val="hybridMultilevel"/>
    <w:tmpl w:val="08E451A0"/>
    <w:lvl w:ilvl="0" w:tplc="FE9AE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25B"/>
    <w:multiLevelType w:val="hybridMultilevel"/>
    <w:tmpl w:val="D332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91A"/>
    <w:multiLevelType w:val="hybridMultilevel"/>
    <w:tmpl w:val="50428956"/>
    <w:lvl w:ilvl="0" w:tplc="4888D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E5D"/>
      </w:rPr>
    </w:lvl>
    <w:lvl w:ilvl="1" w:tplc="B0AC4B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E5D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25C0"/>
    <w:multiLevelType w:val="hybridMultilevel"/>
    <w:tmpl w:val="F912D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51BC"/>
    <w:multiLevelType w:val="hybridMultilevel"/>
    <w:tmpl w:val="C1F0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937">
    <w:abstractNumId w:val="3"/>
  </w:num>
  <w:num w:numId="2" w16cid:durableId="2013219556">
    <w:abstractNumId w:val="1"/>
  </w:num>
  <w:num w:numId="3" w16cid:durableId="1486047529">
    <w:abstractNumId w:val="2"/>
  </w:num>
  <w:num w:numId="4" w16cid:durableId="325478119">
    <w:abstractNumId w:val="0"/>
  </w:num>
  <w:num w:numId="5" w16cid:durableId="1699575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D"/>
    <w:rsid w:val="00005973"/>
    <w:rsid w:val="000165CB"/>
    <w:rsid w:val="0002512D"/>
    <w:rsid w:val="00030189"/>
    <w:rsid w:val="0004504D"/>
    <w:rsid w:val="000629E6"/>
    <w:rsid w:val="0007142C"/>
    <w:rsid w:val="000744B5"/>
    <w:rsid w:val="000761B9"/>
    <w:rsid w:val="00110AAE"/>
    <w:rsid w:val="00117380"/>
    <w:rsid w:val="00157943"/>
    <w:rsid w:val="0016352F"/>
    <w:rsid w:val="001A2F1B"/>
    <w:rsid w:val="00214113"/>
    <w:rsid w:val="00225B6D"/>
    <w:rsid w:val="00232E22"/>
    <w:rsid w:val="00260D25"/>
    <w:rsid w:val="00273169"/>
    <w:rsid w:val="002C7A37"/>
    <w:rsid w:val="00342941"/>
    <w:rsid w:val="00361212"/>
    <w:rsid w:val="00375F6D"/>
    <w:rsid w:val="003B39A5"/>
    <w:rsid w:val="003B45DE"/>
    <w:rsid w:val="003B7297"/>
    <w:rsid w:val="00447DBC"/>
    <w:rsid w:val="00473137"/>
    <w:rsid w:val="004E0436"/>
    <w:rsid w:val="004E5E88"/>
    <w:rsid w:val="00510C1A"/>
    <w:rsid w:val="00562279"/>
    <w:rsid w:val="00573E44"/>
    <w:rsid w:val="00604BC1"/>
    <w:rsid w:val="00623532"/>
    <w:rsid w:val="00625A49"/>
    <w:rsid w:val="00633668"/>
    <w:rsid w:val="00653C99"/>
    <w:rsid w:val="00655360"/>
    <w:rsid w:val="00680595"/>
    <w:rsid w:val="00690378"/>
    <w:rsid w:val="006D5009"/>
    <w:rsid w:val="006D7200"/>
    <w:rsid w:val="007426DE"/>
    <w:rsid w:val="007570E1"/>
    <w:rsid w:val="0076264E"/>
    <w:rsid w:val="00781694"/>
    <w:rsid w:val="007854A2"/>
    <w:rsid w:val="00803433"/>
    <w:rsid w:val="008816E0"/>
    <w:rsid w:val="008829BF"/>
    <w:rsid w:val="008D5008"/>
    <w:rsid w:val="009117D4"/>
    <w:rsid w:val="009146B8"/>
    <w:rsid w:val="00922AB8"/>
    <w:rsid w:val="00927339"/>
    <w:rsid w:val="009273BD"/>
    <w:rsid w:val="0094211A"/>
    <w:rsid w:val="009430CF"/>
    <w:rsid w:val="009E701E"/>
    <w:rsid w:val="00AE47E1"/>
    <w:rsid w:val="00AE5AD5"/>
    <w:rsid w:val="00B068FC"/>
    <w:rsid w:val="00B240B3"/>
    <w:rsid w:val="00B42924"/>
    <w:rsid w:val="00B46315"/>
    <w:rsid w:val="00BC459B"/>
    <w:rsid w:val="00C0324B"/>
    <w:rsid w:val="00C4209A"/>
    <w:rsid w:val="00CA0867"/>
    <w:rsid w:val="00CD78AE"/>
    <w:rsid w:val="00D12352"/>
    <w:rsid w:val="00D14097"/>
    <w:rsid w:val="00D36CA6"/>
    <w:rsid w:val="00D9273B"/>
    <w:rsid w:val="00DA1A4E"/>
    <w:rsid w:val="00DB6E70"/>
    <w:rsid w:val="00DC0022"/>
    <w:rsid w:val="00E3731D"/>
    <w:rsid w:val="00E43EE4"/>
    <w:rsid w:val="00E62294"/>
    <w:rsid w:val="00E631F1"/>
    <w:rsid w:val="00EA21C2"/>
    <w:rsid w:val="00EC7912"/>
    <w:rsid w:val="00ED492E"/>
    <w:rsid w:val="00F114D4"/>
    <w:rsid w:val="00F6470D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415E"/>
  <w15:docId w15:val="{E6FE807D-833D-4F31-9D15-74B3526E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09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8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4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3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433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433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3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10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aggiola@catictit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ictitle.com/new-york/resources/fincen-gto" TargetMode="External"/><Relationship Id="rId5" Type="http://schemas.openxmlformats.org/officeDocument/2006/relationships/hyperlink" Target="https://catictitle.com/new-york/resources/fincen-g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263</Words>
  <Characters>2609</Characters>
  <Application>Microsoft Office Word</Application>
  <DocSecurity>0</DocSecurity>
  <Lines>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CATIC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Sadler</dc:creator>
  <cp:lastModifiedBy>Ashley Sadler Fischer</cp:lastModifiedBy>
  <cp:revision>35</cp:revision>
  <dcterms:created xsi:type="dcterms:W3CDTF">2020-05-08T18:36:00Z</dcterms:created>
  <dcterms:modified xsi:type="dcterms:W3CDTF">2023-04-24T14:50:00Z</dcterms:modified>
</cp:coreProperties>
</file>